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6650" w14:textId="64C92353" w:rsidR="008826D7" w:rsidRPr="00AB057A" w:rsidRDefault="00E56F6E" w:rsidP="00AB057A">
      <w:pPr>
        <w:jc w:val="center"/>
        <w:rPr>
          <w:sz w:val="28"/>
          <w:szCs w:val="28"/>
        </w:rPr>
      </w:pPr>
      <w:r w:rsidRPr="00AB057A">
        <w:rPr>
          <w:sz w:val="28"/>
          <w:szCs w:val="28"/>
        </w:rPr>
        <w:t>Non-Recourse Loan Docs</w:t>
      </w:r>
    </w:p>
    <w:p w14:paraId="5B89F402" w14:textId="4298865A" w:rsidR="00E56F6E" w:rsidRPr="00B64A53" w:rsidRDefault="00E56F6E">
      <w:pPr>
        <w:rPr>
          <w:b/>
          <w:bCs/>
          <w:sz w:val="24"/>
          <w:szCs w:val="24"/>
          <w:u w:val="single"/>
        </w:rPr>
      </w:pPr>
      <w:r w:rsidRPr="00B64A53">
        <w:rPr>
          <w:b/>
          <w:bCs/>
          <w:sz w:val="24"/>
          <w:szCs w:val="24"/>
          <w:u w:val="single"/>
        </w:rPr>
        <w:t>Income</w:t>
      </w:r>
    </w:p>
    <w:p w14:paraId="2FD613C2" w14:textId="4E598F2D" w:rsidR="00E56F6E" w:rsidRDefault="00E56F6E" w:rsidP="00E56F6E">
      <w:pPr>
        <w:pStyle w:val="ListParagraph"/>
        <w:numPr>
          <w:ilvl w:val="0"/>
          <w:numId w:val="1"/>
        </w:numPr>
      </w:pPr>
      <w:r>
        <w:t>None – DSCR</w:t>
      </w:r>
    </w:p>
    <w:p w14:paraId="3DF9C877" w14:textId="18E561C8" w:rsidR="00E56F6E" w:rsidRPr="00B64A53" w:rsidRDefault="00E56F6E">
      <w:pPr>
        <w:rPr>
          <w:b/>
          <w:bCs/>
          <w:sz w:val="24"/>
          <w:szCs w:val="24"/>
          <w:u w:val="single"/>
        </w:rPr>
      </w:pPr>
      <w:r w:rsidRPr="00B64A53">
        <w:rPr>
          <w:b/>
          <w:bCs/>
          <w:sz w:val="24"/>
          <w:szCs w:val="24"/>
          <w:u w:val="single"/>
        </w:rPr>
        <w:t>REO</w:t>
      </w:r>
    </w:p>
    <w:p w14:paraId="12D64EC5" w14:textId="351CF542" w:rsidR="00E56F6E" w:rsidRDefault="00E56F6E" w:rsidP="00E56F6E">
      <w:pPr>
        <w:pStyle w:val="ListParagraph"/>
        <w:numPr>
          <w:ilvl w:val="0"/>
          <w:numId w:val="1"/>
        </w:numPr>
      </w:pPr>
      <w:r>
        <w:t>Current mortgage statements for all properties owned.</w:t>
      </w:r>
    </w:p>
    <w:p w14:paraId="700B46FB" w14:textId="36EDE4A9" w:rsidR="00E56F6E" w:rsidRDefault="00E56F6E" w:rsidP="00E56F6E">
      <w:pPr>
        <w:pStyle w:val="ListParagraph"/>
        <w:numPr>
          <w:ilvl w:val="0"/>
          <w:numId w:val="1"/>
        </w:numPr>
      </w:pPr>
      <w:r>
        <w:t xml:space="preserve">If taxes </w:t>
      </w:r>
      <w:r>
        <w:rPr>
          <w:b/>
          <w:bCs/>
          <w:i/>
          <w:iCs/>
        </w:rPr>
        <w:t>and</w:t>
      </w:r>
      <w:r>
        <w:t xml:space="preserve"> insurance are not escrowed on the mortgage statement</w:t>
      </w:r>
      <w:r w:rsidR="00B64A53">
        <w:t>(s)</w:t>
      </w:r>
      <w:r>
        <w:t>, current tax bill and insurance dec page with premium amount is required.</w:t>
      </w:r>
    </w:p>
    <w:p w14:paraId="5819296C" w14:textId="102A855A" w:rsidR="00E56F6E" w:rsidRDefault="00E56F6E" w:rsidP="00E56F6E">
      <w:pPr>
        <w:pStyle w:val="ListParagraph"/>
        <w:numPr>
          <w:ilvl w:val="0"/>
          <w:numId w:val="1"/>
        </w:numPr>
      </w:pPr>
      <w:r>
        <w:t>If applicable, current HOA statement with property address, HOA information, and the amount &amp; frequency of the dues.</w:t>
      </w:r>
    </w:p>
    <w:p w14:paraId="280ADDFE" w14:textId="3DC40269" w:rsidR="00E56F6E" w:rsidRPr="00B64A53" w:rsidRDefault="00E56F6E" w:rsidP="00E56F6E">
      <w:pPr>
        <w:rPr>
          <w:b/>
          <w:bCs/>
          <w:u w:val="single"/>
        </w:rPr>
      </w:pPr>
      <w:r w:rsidRPr="00B64A53">
        <w:rPr>
          <w:b/>
          <w:bCs/>
          <w:sz w:val="24"/>
          <w:szCs w:val="24"/>
          <w:u w:val="single"/>
        </w:rPr>
        <w:t>401K</w:t>
      </w:r>
      <w:r w:rsidRPr="00B64A53">
        <w:rPr>
          <w:b/>
          <w:bCs/>
          <w:u w:val="single"/>
        </w:rPr>
        <w:t xml:space="preserve"> </w:t>
      </w:r>
    </w:p>
    <w:p w14:paraId="66AA75DA" w14:textId="473E451E" w:rsidR="00E56F6E" w:rsidRDefault="00E56F6E" w:rsidP="00E56F6E">
      <w:pPr>
        <w:pStyle w:val="ListParagraph"/>
        <w:numPr>
          <w:ilvl w:val="0"/>
          <w:numId w:val="2"/>
        </w:numPr>
      </w:pPr>
      <w:r>
        <w:t>401K formation/adoption docs</w:t>
      </w:r>
      <w:r w:rsidR="00AB057A">
        <w:t>.</w:t>
      </w:r>
    </w:p>
    <w:p w14:paraId="275F0248" w14:textId="3AEE5D13" w:rsidR="00E56F6E" w:rsidRDefault="00E56F6E" w:rsidP="00E56F6E">
      <w:pPr>
        <w:pStyle w:val="ListParagraph"/>
        <w:numPr>
          <w:ilvl w:val="0"/>
          <w:numId w:val="2"/>
        </w:numPr>
      </w:pPr>
      <w:r>
        <w:t>401K plan summary</w:t>
      </w:r>
      <w:r w:rsidR="00AB057A">
        <w:t>.</w:t>
      </w:r>
    </w:p>
    <w:p w14:paraId="40BCA986" w14:textId="0E7619CD" w:rsidR="00AB057A" w:rsidRDefault="00E56F6E" w:rsidP="00E56F6E">
      <w:pPr>
        <w:pStyle w:val="ListParagraph"/>
        <w:numPr>
          <w:ilvl w:val="0"/>
          <w:numId w:val="2"/>
        </w:numPr>
      </w:pPr>
      <w:r>
        <w:t>401K liquidation check</w:t>
      </w:r>
      <w:r w:rsidR="00B64A53">
        <w:t xml:space="preserve"> or wire receipt</w:t>
      </w:r>
      <w:r>
        <w:t xml:space="preserve"> and any paperwork involved if fees are taken out for initial setup. </w:t>
      </w:r>
      <w:r w:rsidR="00AB057A">
        <w:t>T</w:t>
      </w:r>
      <w:r w:rsidR="00AB057A">
        <w:t xml:space="preserve">he deposit into the 401K account must match the funds withdrawn from the 401K. </w:t>
      </w:r>
      <w:r>
        <w:t>Example</w:t>
      </w:r>
      <w:r w:rsidR="00B64A53">
        <w:t xml:space="preserve"> of potential fees from </w:t>
      </w:r>
      <w:r w:rsidR="00AB057A">
        <w:t>the setup process</w:t>
      </w:r>
      <w:r w:rsidR="00AB057A">
        <w:t>:</w:t>
      </w:r>
    </w:p>
    <w:p w14:paraId="193AA401" w14:textId="75C27984" w:rsidR="00E56F6E" w:rsidRDefault="00E56F6E" w:rsidP="00AB057A">
      <w:pPr>
        <w:ind w:left="1440"/>
      </w:pPr>
      <w:r w:rsidRPr="00E56F6E">
        <w:drawing>
          <wp:inline distT="0" distB="0" distL="0" distR="0" wp14:anchorId="30E3BFED" wp14:editId="6A4857FD">
            <wp:extent cx="4914900" cy="4679658"/>
            <wp:effectExtent l="0" t="0" r="0" b="6985"/>
            <wp:docPr id="2076762451" name="Picture 1" descr="A screenshot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62451" name="Picture 1" descr="A screenshot of a receip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899" cy="469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BAF8" w14:textId="47DFF70A" w:rsidR="00E56F6E" w:rsidRPr="00B64A53" w:rsidRDefault="00E56F6E" w:rsidP="00E56F6E">
      <w:pPr>
        <w:rPr>
          <w:b/>
          <w:bCs/>
          <w:sz w:val="24"/>
          <w:szCs w:val="24"/>
          <w:u w:val="single"/>
        </w:rPr>
      </w:pPr>
      <w:r w:rsidRPr="00B64A53">
        <w:rPr>
          <w:b/>
          <w:bCs/>
          <w:sz w:val="24"/>
          <w:szCs w:val="24"/>
          <w:u w:val="single"/>
        </w:rPr>
        <w:t>LLC</w:t>
      </w:r>
    </w:p>
    <w:p w14:paraId="2040E8D5" w14:textId="025069E3" w:rsidR="00E56F6E" w:rsidRDefault="00E56F6E" w:rsidP="00E56F6E">
      <w:pPr>
        <w:pStyle w:val="ListParagraph"/>
        <w:numPr>
          <w:ilvl w:val="0"/>
          <w:numId w:val="3"/>
        </w:numPr>
      </w:pPr>
      <w:r>
        <w:t>LLC formation docs – Articles of Incorporation or Certificate of Formation.</w:t>
      </w:r>
    </w:p>
    <w:p w14:paraId="430D2C2A" w14:textId="48E7DE85" w:rsidR="00E56F6E" w:rsidRDefault="00E56F6E" w:rsidP="00E56F6E">
      <w:pPr>
        <w:pStyle w:val="ListParagraph"/>
        <w:numPr>
          <w:ilvl w:val="0"/>
          <w:numId w:val="3"/>
        </w:numPr>
      </w:pPr>
      <w:r>
        <w:t>LLC Operating Agreement – must include the percentage(s) of ownership.</w:t>
      </w:r>
    </w:p>
    <w:p w14:paraId="2B7C6905" w14:textId="47E3A13A" w:rsidR="00B64A53" w:rsidRDefault="00B64A53" w:rsidP="00E56F6E">
      <w:pPr>
        <w:pStyle w:val="ListParagraph"/>
        <w:numPr>
          <w:ilvl w:val="0"/>
          <w:numId w:val="3"/>
        </w:numPr>
      </w:pPr>
      <w:r>
        <w:t xml:space="preserve">Documented evidence of the federal EIN.  </w:t>
      </w:r>
    </w:p>
    <w:p w14:paraId="4C544763" w14:textId="77777777" w:rsidR="00AB057A" w:rsidRDefault="00AB057A" w:rsidP="00E56F6E">
      <w:pPr>
        <w:rPr>
          <w:b/>
          <w:bCs/>
          <w:sz w:val="24"/>
          <w:szCs w:val="24"/>
          <w:u w:val="single"/>
        </w:rPr>
      </w:pPr>
    </w:p>
    <w:p w14:paraId="7278FE83" w14:textId="35873627" w:rsidR="00E56F6E" w:rsidRPr="00B64A53" w:rsidRDefault="00E56F6E" w:rsidP="00E56F6E">
      <w:pPr>
        <w:rPr>
          <w:b/>
          <w:bCs/>
          <w:sz w:val="24"/>
          <w:szCs w:val="24"/>
          <w:u w:val="single"/>
        </w:rPr>
      </w:pPr>
      <w:r w:rsidRPr="00B64A53">
        <w:rPr>
          <w:b/>
          <w:bCs/>
          <w:sz w:val="24"/>
          <w:szCs w:val="24"/>
          <w:u w:val="single"/>
        </w:rPr>
        <w:t>Assets</w:t>
      </w:r>
    </w:p>
    <w:p w14:paraId="7ECB2B1D" w14:textId="3F8F873A" w:rsidR="00E56F6E" w:rsidRDefault="00E56F6E" w:rsidP="00E56F6E">
      <w:pPr>
        <w:pStyle w:val="ListParagraph"/>
        <w:numPr>
          <w:ilvl w:val="0"/>
          <w:numId w:val="4"/>
        </w:numPr>
      </w:pPr>
      <w:r>
        <w:t>401K account agreement</w:t>
      </w:r>
      <w:r w:rsidR="00B64A53">
        <w:t>.</w:t>
      </w:r>
    </w:p>
    <w:p w14:paraId="3D33CDCC" w14:textId="2BBBBB1C" w:rsidR="00B64A53" w:rsidRDefault="00B64A53" w:rsidP="00E56F6E">
      <w:pPr>
        <w:pStyle w:val="ListParagraph"/>
        <w:numPr>
          <w:ilvl w:val="0"/>
          <w:numId w:val="4"/>
        </w:numPr>
      </w:pPr>
      <w:r>
        <w:t>401K bank statement encompassing at least 30 days, all pages including blanks.</w:t>
      </w:r>
    </w:p>
    <w:p w14:paraId="3DB0F126" w14:textId="3C49C070" w:rsidR="00B64A53" w:rsidRDefault="00B64A53" w:rsidP="00E56F6E">
      <w:pPr>
        <w:pStyle w:val="ListParagraph"/>
        <w:numPr>
          <w:ilvl w:val="0"/>
          <w:numId w:val="4"/>
        </w:numPr>
      </w:pPr>
      <w:r>
        <w:t>Any other bank statements from where funds to close will be pulled, including EMD funds.  Again, all pages including blanks.</w:t>
      </w:r>
    </w:p>
    <w:p w14:paraId="5DB49F5A" w14:textId="56CBFD64" w:rsidR="00B64A53" w:rsidRPr="00AB057A" w:rsidRDefault="00B64A53" w:rsidP="00B64A53">
      <w:pPr>
        <w:rPr>
          <w:b/>
          <w:bCs/>
          <w:u w:val="single"/>
        </w:rPr>
      </w:pPr>
      <w:r w:rsidRPr="00AB057A">
        <w:rPr>
          <w:b/>
          <w:bCs/>
          <w:u w:val="single"/>
        </w:rPr>
        <w:t>Cred</w:t>
      </w:r>
      <w:r w:rsidRPr="00AB057A">
        <w:rPr>
          <w:b/>
          <w:bCs/>
          <w:sz w:val="24"/>
          <w:szCs w:val="24"/>
          <w:u w:val="single"/>
        </w:rPr>
        <w:t>it</w:t>
      </w:r>
    </w:p>
    <w:p w14:paraId="182A5EBB" w14:textId="6BF20AA7" w:rsidR="00B64A53" w:rsidRDefault="00B64A53" w:rsidP="00B64A53">
      <w:pPr>
        <w:pStyle w:val="ListParagraph"/>
        <w:numPr>
          <w:ilvl w:val="0"/>
          <w:numId w:val="4"/>
        </w:numPr>
      </w:pPr>
      <w:r>
        <w:t>Physical credit report and credit invoice must be submitted to the lender.</w:t>
      </w:r>
    </w:p>
    <w:p w14:paraId="608DA9C3" w14:textId="77777777" w:rsidR="00B64A53" w:rsidRDefault="00B64A53" w:rsidP="00B64A53"/>
    <w:p w14:paraId="0505D0AF" w14:textId="3F0FD607" w:rsidR="00B64A53" w:rsidRDefault="00AB057A" w:rsidP="00AB057A">
      <w:r>
        <w:t>***</w:t>
      </w:r>
      <w:r w:rsidR="00B64A53">
        <w:t>Title and insurance must be ordered in the name of the entity in which the loan is closing</w:t>
      </w:r>
      <w:r>
        <w:t>***</w:t>
      </w:r>
    </w:p>
    <w:sectPr w:rsidR="00B64A53" w:rsidSect="00B64A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805"/>
    <w:multiLevelType w:val="hybridMultilevel"/>
    <w:tmpl w:val="CBD64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3C7E"/>
    <w:multiLevelType w:val="hybridMultilevel"/>
    <w:tmpl w:val="D1CA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C14E9"/>
    <w:multiLevelType w:val="hybridMultilevel"/>
    <w:tmpl w:val="641C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54183"/>
    <w:multiLevelType w:val="hybridMultilevel"/>
    <w:tmpl w:val="BDE4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84862">
    <w:abstractNumId w:val="2"/>
  </w:num>
  <w:num w:numId="2" w16cid:durableId="1235705532">
    <w:abstractNumId w:val="1"/>
  </w:num>
  <w:num w:numId="3" w16cid:durableId="2017222659">
    <w:abstractNumId w:val="0"/>
  </w:num>
  <w:num w:numId="4" w16cid:durableId="1351880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E"/>
    <w:rsid w:val="00230247"/>
    <w:rsid w:val="007712EF"/>
    <w:rsid w:val="008826D7"/>
    <w:rsid w:val="00AB057A"/>
    <w:rsid w:val="00B64A53"/>
    <w:rsid w:val="00E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172A"/>
  <w15:chartTrackingRefBased/>
  <w15:docId w15:val="{031BFFB1-60AF-4E04-91CE-982A3580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fornian FB" w:eastAsiaTheme="minorHAnsi" w:hAnsi="Californian FB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F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F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F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F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F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F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F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F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F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F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F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F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F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F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F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F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2CE187BCD14468F363A510E5B06C4" ma:contentTypeVersion="14" ma:contentTypeDescription="Create a new document." ma:contentTypeScope="" ma:versionID="f39c778663de1e6c3650d76e220f952f">
  <xsd:schema xmlns:xsd="http://www.w3.org/2001/XMLSchema" xmlns:xs="http://www.w3.org/2001/XMLSchema" xmlns:p="http://schemas.microsoft.com/office/2006/metadata/properties" xmlns:ns2="e5296dd0-9b5c-4499-aeb1-e7dee033fdb1" xmlns:ns3="5c435b21-3f70-4e2f-b535-881e2cebb83d" targetNamespace="http://schemas.microsoft.com/office/2006/metadata/properties" ma:root="true" ma:fieldsID="34e202d0ce6ca6ca4c005578b4e1f7e9" ns2:_="" ns3:_="">
    <xsd:import namespace="e5296dd0-9b5c-4499-aeb1-e7dee033fdb1"/>
    <xsd:import namespace="5c435b21-3f70-4e2f-b535-881e2cebb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6dd0-9b5c-4499-aeb1-e7dee033f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1c9fe4-3a80-46e8-b9ae-61f44642a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35b21-3f70-4e2f-b535-881e2cebb8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38204d-a302-4adb-afbf-55f98bf7767e}" ma:internalName="TaxCatchAll" ma:showField="CatchAllData" ma:web="5c435b21-3f70-4e2f-b535-881e2cebb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35b21-3f70-4e2f-b535-881e2cebb83d" xsi:nil="true"/>
    <lcf76f155ced4ddcb4097134ff3c332f xmlns="e5296dd0-9b5c-4499-aeb1-e7dee033fd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B3AA85-8C64-4BB1-8B92-B3FC92AB27DB}"/>
</file>

<file path=customXml/itemProps2.xml><?xml version="1.0" encoding="utf-8"?>
<ds:datastoreItem xmlns:ds="http://schemas.openxmlformats.org/officeDocument/2006/customXml" ds:itemID="{384BBFE2-EDB9-4B16-8024-4D47F94A5E55}"/>
</file>

<file path=customXml/itemProps3.xml><?xml version="1.0" encoding="utf-8"?>
<ds:datastoreItem xmlns:ds="http://schemas.openxmlformats.org/officeDocument/2006/customXml" ds:itemID="{ADED5C9B-E4ED-4D0E-BFBD-42E4C8B4E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Michael Robinson</cp:lastModifiedBy>
  <cp:revision>2</cp:revision>
  <dcterms:created xsi:type="dcterms:W3CDTF">2024-01-26T15:24:00Z</dcterms:created>
  <dcterms:modified xsi:type="dcterms:W3CDTF">2024-01-26T15:49:00Z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0x0101004CC2CE187BCD14468F363A510E5B06C4</vt:lpwstr>
  </property>
</Properties>
</file>